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A0" w:firstRow="1" w:lastRow="0" w:firstColumn="1" w:lastColumn="0" w:noHBand="0" w:noVBand="0"/>
      </w:tblPr>
      <w:tblGrid>
        <w:gridCol w:w="2268"/>
        <w:gridCol w:w="12060"/>
      </w:tblGrid>
      <w:tr w:rsidR="00BC2B77" w14:paraId="5C01965D" w14:textId="77777777" w:rsidTr="00C02CA1">
        <w:tc>
          <w:tcPr>
            <w:tcW w:w="14328" w:type="dxa"/>
            <w:gridSpan w:val="2"/>
            <w:shd w:val="clear" w:color="auto" w:fill="FFFF99"/>
          </w:tcPr>
          <w:p w14:paraId="07C819CB" w14:textId="77777777" w:rsidR="00BC2B77" w:rsidRPr="00A235EF" w:rsidRDefault="00A235EF" w:rsidP="00BC2B77">
            <w:pPr>
              <w:rPr>
                <w:b/>
                <w:sz w:val="22"/>
                <w:szCs w:val="22"/>
              </w:rPr>
            </w:pPr>
            <w:r>
              <w:rPr>
                <w:b/>
                <w:sz w:val="22"/>
                <w:szCs w:val="22"/>
              </w:rPr>
              <w:t xml:space="preserve">Represent and analyze quantitative relationships between dependent and independent variables.  </w:t>
            </w:r>
          </w:p>
          <w:p w14:paraId="2292277C" w14:textId="77777777" w:rsidR="00BC2B77" w:rsidRPr="00A235EF" w:rsidRDefault="00A235EF" w:rsidP="00BC2B77">
            <w:r>
              <w:t>9.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r w:rsidRPr="0036628A">
              <w:rPr>
                <w:i/>
              </w:rPr>
              <w:t>.  For example,</w:t>
            </w:r>
            <w:r>
              <w:t xml:space="preserve"> </w:t>
            </w:r>
            <w:r w:rsidRPr="0036628A">
              <w:rPr>
                <w:i/>
              </w:rPr>
              <w:t>in a problem involving motion at constant speed, list and gra</w:t>
            </w:r>
            <w:r w:rsidR="00D70B3F" w:rsidRPr="0036628A">
              <w:rPr>
                <w:i/>
              </w:rPr>
              <w:t>p</w:t>
            </w:r>
            <w:r w:rsidRPr="0036628A">
              <w:rPr>
                <w:i/>
              </w:rPr>
              <w:t>h ordered pairs of distances and times, and write the equation d = 65t to represent the relationship between distance and time.</w:t>
            </w:r>
            <w:r>
              <w:t xml:space="preserve"> </w:t>
            </w:r>
          </w:p>
        </w:tc>
      </w:tr>
      <w:tr w:rsidR="00DC727D" w14:paraId="0FB88AA8" w14:textId="77777777" w:rsidTr="00C02CA1">
        <w:tc>
          <w:tcPr>
            <w:tcW w:w="2268" w:type="dxa"/>
            <w:shd w:val="clear" w:color="auto" w:fill="FCF7D4"/>
          </w:tcPr>
          <w:p w14:paraId="43F25137" w14:textId="77777777" w:rsidR="002A0FB0" w:rsidRDefault="00DC727D" w:rsidP="00BC2B77">
            <w:pPr>
              <w:rPr>
                <w:b/>
              </w:rPr>
            </w:pPr>
            <w:r>
              <w:rPr>
                <w:b/>
              </w:rPr>
              <w:t>Connections to other grade levels</w:t>
            </w:r>
          </w:p>
          <w:p w14:paraId="4222863E" w14:textId="77777777" w:rsidR="002A0FB0" w:rsidRPr="00696B84" w:rsidRDefault="002A0FB0" w:rsidP="002A0FB0">
            <w:r>
              <w:t>In K-3</w:t>
            </w:r>
            <w:r w:rsidR="00891518">
              <w:t>,</w:t>
            </w:r>
            <w:r>
              <w:t xml:space="preserve"> students study arithmetic sequences such as skip counting.</w:t>
            </w:r>
          </w:p>
          <w:p w14:paraId="4184DB81" w14:textId="77777777" w:rsidR="00DC727D" w:rsidRDefault="002A0FB0" w:rsidP="002A0FB0">
            <w:pPr>
              <w:rPr>
                <w:b/>
              </w:rPr>
            </w:pPr>
            <w:r>
              <w:t>In Grades 4 and 5, students generate and analyze patterns that follow a given rule.  They also study the relationships between corresponding terms</w:t>
            </w:r>
            <w:r>
              <w:rPr>
                <w:b/>
              </w:rPr>
              <w:t xml:space="preserve">.  </w:t>
            </w:r>
          </w:p>
        </w:tc>
        <w:tc>
          <w:tcPr>
            <w:tcW w:w="12060" w:type="dxa"/>
            <w:shd w:val="clear" w:color="auto" w:fill="FFFFCC"/>
          </w:tcPr>
          <w:p w14:paraId="20E5BBAE" w14:textId="77777777" w:rsidR="00DC727D" w:rsidRDefault="00DC727D" w:rsidP="00DC727D">
            <w:pPr>
              <w:rPr>
                <w:b/>
              </w:rPr>
            </w:pPr>
            <w:r>
              <w:rPr>
                <w:b/>
              </w:rPr>
              <w:t xml:space="preserve">What are quantitative relationships between dependent and independent variables?  </w:t>
            </w:r>
          </w:p>
          <w:p w14:paraId="285DD78E" w14:textId="77777777" w:rsidR="00DC727D" w:rsidRDefault="00DC727D" w:rsidP="00DC727D">
            <w:r>
              <w:t xml:space="preserve">Students should have opportunities </w:t>
            </w:r>
            <w:r w:rsidR="00891518">
              <w:t xml:space="preserve">to </w:t>
            </w:r>
            <w:r>
              <w:t>represent mathematical quantities in real-world situations so they can build understanding of meaning and use of variables.  They can build quantitative reasoning by looking at the relationship between two variables that are related in such a way that one is affected by the other.  The dependent variable, the output number, is affected by the independent variable, the input number.</w:t>
            </w:r>
          </w:p>
          <w:p w14:paraId="33233828" w14:textId="77777777" w:rsidR="00DC727D" w:rsidRDefault="00DC727D" w:rsidP="00DC727D"/>
          <w:p w14:paraId="692E1AA4" w14:textId="77777777" w:rsidR="00DC727D" w:rsidRDefault="00DC727D" w:rsidP="00DC727D">
            <w:pPr>
              <w:rPr>
                <w:b/>
              </w:rPr>
            </w:pPr>
            <w:r w:rsidRPr="00DC727D">
              <w:rPr>
                <w:b/>
              </w:rPr>
              <w:t xml:space="preserve">How can quantitative relationships be represented?  </w:t>
            </w:r>
          </w:p>
          <w:p w14:paraId="28C0E3B1" w14:textId="77777777" w:rsidR="002A0FB0" w:rsidRPr="002A0FB0" w:rsidRDefault="002A0FB0" w:rsidP="00DC727D">
            <w:r>
              <w:t>Quantitative relationships can be represented in multiple ways:  1) through real-world context; 2) using a table of values; 3) creating a visual graph; and 4) writing sym</w:t>
            </w:r>
            <w:r w:rsidR="00703A3F">
              <w:t>bolic equations.  Each representation</w:t>
            </w:r>
            <w:r>
              <w:t xml:space="preserve"> is a different way to communicate the same relationship. It is important that students conceptually recognize and develop sound understanding of the connections among these equivalent various mathematical representations.</w:t>
            </w:r>
          </w:p>
          <w:p w14:paraId="0AEBB62D" w14:textId="77777777" w:rsidR="00DC727D" w:rsidRDefault="00DC727D" w:rsidP="00DC727D">
            <w:pPr>
              <w:tabs>
                <w:tab w:val="left" w:pos="2280"/>
              </w:tabs>
              <w:rPr>
                <w:b/>
              </w:rPr>
            </w:pPr>
            <w:r>
              <w:rPr>
                <w:b/>
              </w:rPr>
              <w:tab/>
            </w:r>
          </w:p>
        </w:tc>
      </w:tr>
      <w:tr w:rsidR="002A0FB0" w14:paraId="607C44BB" w14:textId="77777777" w:rsidTr="007D3590">
        <w:tc>
          <w:tcPr>
            <w:tcW w:w="2268" w:type="dxa"/>
            <w:shd w:val="clear" w:color="auto" w:fill="C4BC96" w:themeFill="background2" w:themeFillShade="BF"/>
          </w:tcPr>
          <w:p w14:paraId="35AC0C40" w14:textId="77777777" w:rsidR="002A0FB0" w:rsidRDefault="002A0FB0" w:rsidP="00BC2B77">
            <w:pPr>
              <w:rPr>
                <w:b/>
              </w:rPr>
            </w:pPr>
          </w:p>
        </w:tc>
        <w:tc>
          <w:tcPr>
            <w:tcW w:w="12060" w:type="dxa"/>
            <w:shd w:val="clear" w:color="auto" w:fill="C4BC96" w:themeFill="background2" w:themeFillShade="BF"/>
          </w:tcPr>
          <w:p w14:paraId="245EB617" w14:textId="77777777" w:rsidR="002A0FB0" w:rsidRPr="002A0FB0" w:rsidRDefault="002A0FB0" w:rsidP="002A0FB0">
            <w:pPr>
              <w:tabs>
                <w:tab w:val="left" w:pos="2775"/>
              </w:tabs>
              <w:rPr>
                <w:b/>
              </w:rPr>
            </w:pPr>
            <w:r>
              <w:rPr>
                <w:b/>
              </w:rPr>
              <w:t xml:space="preserve">                                                               Representing Quantitative Relationships </w:t>
            </w:r>
          </w:p>
        </w:tc>
      </w:tr>
      <w:tr w:rsidR="00865C13" w14:paraId="42E7E961" w14:textId="77777777" w:rsidTr="007D3590">
        <w:tc>
          <w:tcPr>
            <w:tcW w:w="2268" w:type="dxa"/>
            <w:shd w:val="clear" w:color="auto" w:fill="DDD9C3" w:themeFill="background2" w:themeFillShade="E6"/>
          </w:tcPr>
          <w:p w14:paraId="1A659280" w14:textId="77777777" w:rsidR="00DB7896" w:rsidRDefault="00DB7896" w:rsidP="00865C13">
            <w:pPr>
              <w:rPr>
                <w:b/>
              </w:rPr>
            </w:pPr>
          </w:p>
          <w:p w14:paraId="45B206CD" w14:textId="77777777" w:rsidR="00865C13" w:rsidRDefault="00865C13" w:rsidP="00865C13">
            <w:pPr>
              <w:rPr>
                <w:b/>
              </w:rPr>
            </w:pPr>
            <w:r>
              <w:rPr>
                <w:b/>
              </w:rPr>
              <w:t>Real World Context</w:t>
            </w:r>
            <w:r w:rsidR="007D3590">
              <w:rPr>
                <w:b/>
              </w:rPr>
              <w:t>:</w:t>
            </w:r>
          </w:p>
          <w:p w14:paraId="59BBB931" w14:textId="77777777" w:rsidR="00865C13" w:rsidRDefault="00865C13" w:rsidP="00865C13"/>
          <w:p w14:paraId="11BC7B06" w14:textId="77777777" w:rsidR="00865C13" w:rsidRPr="00844D10" w:rsidRDefault="00865C13" w:rsidP="007D3590">
            <w:pPr>
              <w:jc w:val="center"/>
            </w:pPr>
            <w:r>
              <w:t>A school is having a walk-a-thon for a fund raiser.  Each student in the walk-a-thon must find sponsors to pledge $2.00 for each mile the student walks.  Sponsors want to know how much money they would owe given the total distance the students would walk.</w:t>
            </w:r>
          </w:p>
          <w:p w14:paraId="06C85014" w14:textId="77777777" w:rsidR="00865C13" w:rsidRDefault="00865C13" w:rsidP="00BC2B77">
            <w:pPr>
              <w:rPr>
                <w:b/>
              </w:rPr>
            </w:pPr>
          </w:p>
        </w:tc>
        <w:tc>
          <w:tcPr>
            <w:tcW w:w="12060" w:type="dxa"/>
            <w:shd w:val="clear" w:color="auto" w:fill="FFFEEB"/>
          </w:tcPr>
          <w:p w14:paraId="4DB4B9E6" w14:textId="77777777" w:rsidR="00865C13" w:rsidRDefault="00865C13" w:rsidP="00865C13">
            <w:pPr>
              <w:rPr>
                <w:b/>
              </w:rPr>
            </w:pPr>
          </w:p>
          <w:p w14:paraId="294C93F5" w14:textId="77777777" w:rsidR="00865C13" w:rsidRPr="0022438A" w:rsidRDefault="00865C13" w:rsidP="00865C13">
            <w:pPr>
              <w:rPr>
                <w:b/>
              </w:rPr>
            </w:pPr>
            <w:r w:rsidRPr="0022438A">
              <w:rPr>
                <w:b/>
              </w:rPr>
              <w:t>Table of Values:</w:t>
            </w:r>
          </w:p>
          <w:p w14:paraId="79D4EAF4" w14:textId="77777777" w:rsidR="00865C13" w:rsidRDefault="00865C13" w:rsidP="00865C13">
            <w:r>
              <w:t xml:space="preserve">A table of values </w:t>
            </w:r>
            <w:r w:rsidR="00703A3F">
              <w:t>provides</w:t>
            </w:r>
            <w:r>
              <w:t xml:space="preserve"> an organized way to help students determine the quantitative relationships within the context. </w:t>
            </w:r>
            <w:r>
              <w:tab/>
            </w:r>
          </w:p>
          <w:p w14:paraId="78468162" w14:textId="77777777" w:rsidR="00C02CA1" w:rsidRDefault="00C02CA1" w:rsidP="00865C13"/>
          <w:p w14:paraId="43DE786C" w14:textId="77777777" w:rsidR="00C02CA1" w:rsidRDefault="00C02CA1" w:rsidP="00865C13"/>
          <w:tbl>
            <w:tblPr>
              <w:tblStyle w:val="TableGrid"/>
              <w:tblpPr w:leftFromText="180" w:rightFromText="180" w:vertAnchor="text" w:horzAnchor="page" w:tblpX="576" w:tblpY="-170"/>
              <w:tblOverlap w:val="never"/>
              <w:tblW w:w="0" w:type="auto"/>
              <w:tblLayout w:type="fixed"/>
              <w:tblLook w:val="04A0" w:firstRow="1" w:lastRow="0" w:firstColumn="1" w:lastColumn="0" w:noHBand="0" w:noVBand="1"/>
            </w:tblPr>
            <w:tblGrid>
              <w:gridCol w:w="5880"/>
              <w:gridCol w:w="681"/>
              <w:gridCol w:w="682"/>
              <w:gridCol w:w="682"/>
              <w:gridCol w:w="681"/>
              <w:gridCol w:w="682"/>
              <w:gridCol w:w="682"/>
              <w:gridCol w:w="682"/>
            </w:tblGrid>
            <w:tr w:rsidR="00C02CA1" w14:paraId="7993E99E" w14:textId="77777777" w:rsidTr="00703A3F">
              <w:tc>
                <w:tcPr>
                  <w:tcW w:w="5880" w:type="dxa"/>
                </w:tcPr>
                <w:p w14:paraId="48BEAFC2" w14:textId="77777777" w:rsidR="00C02CA1" w:rsidRPr="00703A3F" w:rsidRDefault="00C02CA1" w:rsidP="00C02CA1">
                  <w:pPr>
                    <w:rPr>
                      <w:sz w:val="22"/>
                      <w:szCs w:val="22"/>
                    </w:rPr>
                  </w:pPr>
                  <w:r w:rsidRPr="00C02CA1">
                    <w:rPr>
                      <w:b/>
                      <w:sz w:val="22"/>
                      <w:szCs w:val="22"/>
                    </w:rPr>
                    <w:t>Number of Miles Walked</w:t>
                  </w:r>
                  <w:r w:rsidR="00703A3F">
                    <w:rPr>
                      <w:b/>
                      <w:sz w:val="22"/>
                      <w:szCs w:val="22"/>
                    </w:rPr>
                    <w:t xml:space="preserve"> </w:t>
                  </w:r>
                  <w:r w:rsidR="00703A3F">
                    <w:rPr>
                      <w:sz w:val="22"/>
                      <w:szCs w:val="22"/>
                    </w:rPr>
                    <w:t>(Independent Variable known as x)</w:t>
                  </w:r>
                </w:p>
              </w:tc>
              <w:tc>
                <w:tcPr>
                  <w:tcW w:w="681" w:type="dxa"/>
                  <w:vAlign w:val="center"/>
                </w:tcPr>
                <w:p w14:paraId="56698E3A" w14:textId="77777777" w:rsidR="00C02CA1" w:rsidRDefault="00C02CA1" w:rsidP="00C02CA1">
                  <w:pPr>
                    <w:jc w:val="center"/>
                  </w:pPr>
                  <w:r>
                    <w:t>0</w:t>
                  </w:r>
                </w:p>
              </w:tc>
              <w:tc>
                <w:tcPr>
                  <w:tcW w:w="682" w:type="dxa"/>
                  <w:vAlign w:val="center"/>
                </w:tcPr>
                <w:p w14:paraId="2A821E5D" w14:textId="77777777" w:rsidR="00C02CA1" w:rsidRDefault="00C02CA1" w:rsidP="00C02CA1">
                  <w:pPr>
                    <w:jc w:val="center"/>
                  </w:pPr>
                  <w:r>
                    <w:t>1</w:t>
                  </w:r>
                </w:p>
              </w:tc>
              <w:tc>
                <w:tcPr>
                  <w:tcW w:w="682" w:type="dxa"/>
                  <w:vAlign w:val="center"/>
                </w:tcPr>
                <w:p w14:paraId="5CD3A0B6" w14:textId="77777777" w:rsidR="00C02CA1" w:rsidRDefault="00C02CA1" w:rsidP="00C02CA1">
                  <w:pPr>
                    <w:jc w:val="center"/>
                  </w:pPr>
                  <w:r>
                    <w:t>2</w:t>
                  </w:r>
                </w:p>
              </w:tc>
              <w:tc>
                <w:tcPr>
                  <w:tcW w:w="681" w:type="dxa"/>
                  <w:vAlign w:val="center"/>
                </w:tcPr>
                <w:p w14:paraId="3DC95888" w14:textId="77777777" w:rsidR="00C02CA1" w:rsidRDefault="00C02CA1" w:rsidP="00C02CA1">
                  <w:pPr>
                    <w:jc w:val="center"/>
                  </w:pPr>
                  <w:r>
                    <w:t>3</w:t>
                  </w:r>
                </w:p>
              </w:tc>
              <w:tc>
                <w:tcPr>
                  <w:tcW w:w="682" w:type="dxa"/>
                  <w:vAlign w:val="center"/>
                </w:tcPr>
                <w:p w14:paraId="70564141" w14:textId="77777777" w:rsidR="00C02CA1" w:rsidRDefault="00C02CA1" w:rsidP="00C02CA1">
                  <w:pPr>
                    <w:jc w:val="center"/>
                  </w:pPr>
                  <w:r>
                    <w:t>4</w:t>
                  </w:r>
                </w:p>
              </w:tc>
              <w:tc>
                <w:tcPr>
                  <w:tcW w:w="682" w:type="dxa"/>
                  <w:vAlign w:val="center"/>
                </w:tcPr>
                <w:p w14:paraId="38125160" w14:textId="77777777" w:rsidR="00C02CA1" w:rsidRDefault="00C02CA1" w:rsidP="00C02CA1">
                  <w:pPr>
                    <w:jc w:val="center"/>
                  </w:pPr>
                  <w:r>
                    <w:t>5</w:t>
                  </w:r>
                </w:p>
              </w:tc>
              <w:tc>
                <w:tcPr>
                  <w:tcW w:w="682" w:type="dxa"/>
                  <w:vAlign w:val="center"/>
                </w:tcPr>
                <w:p w14:paraId="31C8A5F8" w14:textId="77777777" w:rsidR="00C02CA1" w:rsidRDefault="00C02CA1" w:rsidP="00C02CA1">
                  <w:pPr>
                    <w:jc w:val="center"/>
                  </w:pPr>
                  <w:r>
                    <w:t>6</w:t>
                  </w:r>
                </w:p>
              </w:tc>
            </w:tr>
            <w:tr w:rsidR="00C02CA1" w14:paraId="03A70E16" w14:textId="77777777" w:rsidTr="00703A3F">
              <w:tc>
                <w:tcPr>
                  <w:tcW w:w="5880" w:type="dxa"/>
                </w:tcPr>
                <w:p w14:paraId="3A763A06" w14:textId="77777777" w:rsidR="00C02CA1" w:rsidRPr="00703A3F" w:rsidRDefault="00C02CA1" w:rsidP="00C02CA1">
                  <w:pPr>
                    <w:rPr>
                      <w:sz w:val="22"/>
                      <w:szCs w:val="22"/>
                    </w:rPr>
                  </w:pPr>
                  <w:r w:rsidRPr="00C02CA1">
                    <w:rPr>
                      <w:b/>
                      <w:sz w:val="22"/>
                      <w:szCs w:val="22"/>
                    </w:rPr>
                    <w:t>Total Dollars Sponsor Would Owe</w:t>
                  </w:r>
                  <w:r w:rsidR="00703A3F">
                    <w:rPr>
                      <w:b/>
                      <w:sz w:val="22"/>
                      <w:szCs w:val="22"/>
                    </w:rPr>
                    <w:t xml:space="preserve"> </w:t>
                  </w:r>
                  <w:r w:rsidR="00703A3F">
                    <w:rPr>
                      <w:sz w:val="22"/>
                      <w:szCs w:val="22"/>
                    </w:rPr>
                    <w:t>(Dependent Variable knows as y</w:t>
                  </w:r>
                </w:p>
              </w:tc>
              <w:tc>
                <w:tcPr>
                  <w:tcW w:w="681" w:type="dxa"/>
                  <w:vAlign w:val="center"/>
                </w:tcPr>
                <w:p w14:paraId="649CDA1C" w14:textId="77777777" w:rsidR="00C02CA1" w:rsidRDefault="00C02CA1" w:rsidP="00C02CA1">
                  <w:pPr>
                    <w:jc w:val="center"/>
                  </w:pPr>
                  <w:r>
                    <w:t>0</w:t>
                  </w:r>
                </w:p>
              </w:tc>
              <w:tc>
                <w:tcPr>
                  <w:tcW w:w="682" w:type="dxa"/>
                  <w:vAlign w:val="center"/>
                </w:tcPr>
                <w:p w14:paraId="70684D85" w14:textId="77777777" w:rsidR="00C02CA1" w:rsidRDefault="00C02CA1" w:rsidP="00C02CA1">
                  <w:pPr>
                    <w:jc w:val="center"/>
                  </w:pPr>
                  <w:r>
                    <w:t>2</w:t>
                  </w:r>
                </w:p>
              </w:tc>
              <w:tc>
                <w:tcPr>
                  <w:tcW w:w="682" w:type="dxa"/>
                  <w:vAlign w:val="center"/>
                </w:tcPr>
                <w:p w14:paraId="6C72CFFD" w14:textId="77777777" w:rsidR="00C02CA1" w:rsidRDefault="00C02CA1" w:rsidP="00C02CA1">
                  <w:pPr>
                    <w:jc w:val="center"/>
                  </w:pPr>
                  <w:r>
                    <w:t>4</w:t>
                  </w:r>
                </w:p>
              </w:tc>
              <w:tc>
                <w:tcPr>
                  <w:tcW w:w="681" w:type="dxa"/>
                  <w:vAlign w:val="center"/>
                </w:tcPr>
                <w:p w14:paraId="0BA213AD" w14:textId="77777777" w:rsidR="00C02CA1" w:rsidRDefault="00C02CA1" w:rsidP="00C02CA1">
                  <w:pPr>
                    <w:jc w:val="center"/>
                  </w:pPr>
                  <w:r>
                    <w:t>6</w:t>
                  </w:r>
                </w:p>
              </w:tc>
              <w:tc>
                <w:tcPr>
                  <w:tcW w:w="682" w:type="dxa"/>
                  <w:vAlign w:val="center"/>
                </w:tcPr>
                <w:p w14:paraId="63D98393" w14:textId="77777777" w:rsidR="00C02CA1" w:rsidRDefault="00C02CA1" w:rsidP="00C02CA1">
                  <w:pPr>
                    <w:jc w:val="center"/>
                  </w:pPr>
                  <w:r>
                    <w:t>8</w:t>
                  </w:r>
                </w:p>
              </w:tc>
              <w:tc>
                <w:tcPr>
                  <w:tcW w:w="682" w:type="dxa"/>
                  <w:vAlign w:val="center"/>
                </w:tcPr>
                <w:p w14:paraId="2A99934B" w14:textId="77777777" w:rsidR="00C02CA1" w:rsidRDefault="00C02CA1" w:rsidP="00C02CA1">
                  <w:pPr>
                    <w:jc w:val="center"/>
                  </w:pPr>
                  <w:r>
                    <w:t>10</w:t>
                  </w:r>
                </w:p>
              </w:tc>
              <w:tc>
                <w:tcPr>
                  <w:tcW w:w="682" w:type="dxa"/>
                  <w:vAlign w:val="center"/>
                </w:tcPr>
                <w:p w14:paraId="60B46582" w14:textId="77777777" w:rsidR="00C02CA1" w:rsidRDefault="00C02CA1" w:rsidP="00C02CA1">
                  <w:pPr>
                    <w:jc w:val="center"/>
                  </w:pPr>
                  <w:r>
                    <w:t>12</w:t>
                  </w:r>
                </w:p>
              </w:tc>
            </w:tr>
          </w:tbl>
          <w:p w14:paraId="3AD41E03" w14:textId="77777777" w:rsidR="00C02CA1" w:rsidRDefault="00C02CA1" w:rsidP="00865C13"/>
          <w:p w14:paraId="76901F85" w14:textId="77777777" w:rsidR="00C02CA1" w:rsidRDefault="00C02CA1" w:rsidP="00865C13"/>
          <w:p w14:paraId="121627A2" w14:textId="7B9E8037" w:rsidR="00865C13" w:rsidRPr="00891518" w:rsidRDefault="007D3590" w:rsidP="00865C13">
            <w:pPr>
              <w:rPr>
                <w:sz w:val="22"/>
                <w:szCs w:val="22"/>
              </w:rPr>
            </w:pPr>
            <w:r>
              <w:rPr>
                <w:noProof/>
                <w:sz w:val="22"/>
                <w:szCs w:val="22"/>
              </w:rPr>
              <w:drawing>
                <wp:anchor distT="0" distB="0" distL="114300" distR="114300" simplePos="0" relativeHeight="251661312" behindDoc="0" locked="0" layoutInCell="1" allowOverlap="1" wp14:anchorId="30767384" wp14:editId="4B3A5B9B">
                  <wp:simplePos x="0" y="0"/>
                  <wp:positionH relativeFrom="column">
                    <wp:posOffset>6021705</wp:posOffset>
                  </wp:positionH>
                  <wp:positionV relativeFrom="paragraph">
                    <wp:posOffset>1003300</wp:posOffset>
                  </wp:positionV>
                  <wp:extent cx="790575" cy="706002"/>
                  <wp:effectExtent l="19050" t="0" r="9525" b="0"/>
                  <wp:wrapNone/>
                  <wp:docPr id="12" name="Picture 12" descr="C:\Documents and Settings\aosness\Local Settings\Temporary Internet Files\Content.IE5\PL0MZHIA\MC9004415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osness\Local Settings\Temporary Internet Files\Content.IE5\PL0MZHIA\MC900441529[1].wmf"/>
                          <pic:cNvPicPr>
                            <a:picLocks noChangeAspect="1" noChangeArrowheads="1"/>
                          </pic:cNvPicPr>
                        </pic:nvPicPr>
                        <pic:blipFill>
                          <a:blip r:embed="rId8" cstate="print"/>
                          <a:srcRect/>
                          <a:stretch>
                            <a:fillRect/>
                          </a:stretch>
                        </pic:blipFill>
                        <pic:spPr bwMode="auto">
                          <a:xfrm>
                            <a:off x="0" y="0"/>
                            <a:ext cx="790575" cy="706002"/>
                          </a:xfrm>
                          <a:prstGeom prst="rect">
                            <a:avLst/>
                          </a:prstGeom>
                          <a:noFill/>
                          <a:ln w="9525">
                            <a:noFill/>
                            <a:miter lim="800000"/>
                            <a:headEnd/>
                            <a:tailEnd/>
                          </a:ln>
                        </pic:spPr>
                      </pic:pic>
                    </a:graphicData>
                  </a:graphic>
                </wp:anchor>
              </w:drawing>
            </w:r>
            <w:r w:rsidR="00865C13" w:rsidRPr="00891518">
              <w:rPr>
                <w:sz w:val="22"/>
                <w:szCs w:val="22"/>
              </w:rPr>
              <w:t xml:space="preserve">The first row in the table of values shows the </w:t>
            </w:r>
            <w:r w:rsidR="00703A3F">
              <w:rPr>
                <w:sz w:val="22"/>
                <w:szCs w:val="22"/>
              </w:rPr>
              <w:t>number of miles the student walks, which is the input.  The second row shows</w:t>
            </w:r>
            <w:r w:rsidR="00865C13" w:rsidRPr="00891518">
              <w:rPr>
                <w:sz w:val="22"/>
                <w:szCs w:val="22"/>
              </w:rPr>
              <w:t xml:space="preserve"> </w:t>
            </w:r>
            <w:r w:rsidR="00703A3F">
              <w:rPr>
                <w:sz w:val="22"/>
                <w:szCs w:val="22"/>
              </w:rPr>
              <w:t>the total number of dollars the sponsor owes, which is the output.  The quantitative relationship is evidenced in that the total amount the sponsor owes depends on how many miles th</w:t>
            </w:r>
            <w:r w:rsidR="006E651A">
              <w:rPr>
                <w:sz w:val="22"/>
                <w:szCs w:val="22"/>
              </w:rPr>
              <w:t>e student walks.  The table</w:t>
            </w:r>
            <w:r w:rsidR="00703A3F">
              <w:rPr>
                <w:sz w:val="22"/>
                <w:szCs w:val="22"/>
              </w:rPr>
              <w:t xml:space="preserve"> helps students recognize the pattern in the function.</w:t>
            </w:r>
            <w:r w:rsidR="00991776">
              <w:rPr>
                <w:sz w:val="22"/>
                <w:szCs w:val="22"/>
              </w:rPr>
              <w:t xml:space="preserve">  In this situation, the number of miles</w:t>
            </w:r>
            <w:r w:rsidR="006E651A">
              <w:rPr>
                <w:sz w:val="22"/>
                <w:szCs w:val="22"/>
              </w:rPr>
              <w:t xml:space="preserve"> (x)</w:t>
            </w:r>
            <w:r w:rsidR="00991776">
              <w:rPr>
                <w:sz w:val="22"/>
                <w:szCs w:val="22"/>
              </w:rPr>
              <w:t xml:space="preserve"> is multiplied by the cost per miles ($2) to determine the total cost</w:t>
            </w:r>
            <w:r w:rsidR="006E651A">
              <w:rPr>
                <w:sz w:val="22"/>
                <w:szCs w:val="22"/>
              </w:rPr>
              <w:t xml:space="preserve"> (y)</w:t>
            </w:r>
            <w:r w:rsidR="00991776">
              <w:rPr>
                <w:sz w:val="22"/>
                <w:szCs w:val="22"/>
              </w:rPr>
              <w:t xml:space="preserve">.  </w:t>
            </w:r>
            <w:proofErr w:type="gramStart"/>
            <w:r w:rsidR="006E651A">
              <w:rPr>
                <w:sz w:val="22"/>
                <w:szCs w:val="22"/>
              </w:rPr>
              <w:t>by</w:t>
            </w:r>
            <w:proofErr w:type="gramEnd"/>
            <w:r w:rsidR="006E651A">
              <w:rPr>
                <w:sz w:val="22"/>
                <w:szCs w:val="22"/>
              </w:rPr>
              <w:t xml:space="preserve"> substituting any number of miles for x, students can find the total cost the sponsor owes.</w:t>
            </w:r>
          </w:p>
          <w:tbl>
            <w:tblPr>
              <w:tblStyle w:val="TableGrid"/>
              <w:tblpPr w:leftFromText="180" w:rightFromText="180" w:vertAnchor="text" w:horzAnchor="page" w:tblpX="6496" w:tblpY="110"/>
              <w:tblOverlap w:val="never"/>
              <w:tblW w:w="0" w:type="auto"/>
              <w:tblLayout w:type="fixed"/>
              <w:tblLook w:val="04A0" w:firstRow="1" w:lastRow="0" w:firstColumn="1" w:lastColumn="0" w:noHBand="0" w:noVBand="1"/>
            </w:tblPr>
            <w:tblGrid>
              <w:gridCol w:w="1167"/>
              <w:gridCol w:w="1353"/>
            </w:tblGrid>
            <w:tr w:rsidR="006A7CAA" w:rsidRPr="00E574BF" w14:paraId="4ED82A79" w14:textId="77777777" w:rsidTr="006A7CAA">
              <w:tc>
                <w:tcPr>
                  <w:tcW w:w="1167" w:type="dxa"/>
                </w:tcPr>
                <w:p w14:paraId="76FB1E22" w14:textId="77777777" w:rsidR="006A7CAA" w:rsidRPr="00E574BF" w:rsidRDefault="006A7CAA" w:rsidP="006A7CAA">
                  <w:pPr>
                    <w:jc w:val="center"/>
                    <w:rPr>
                      <w:b/>
                      <w:sz w:val="20"/>
                      <w:szCs w:val="20"/>
                    </w:rPr>
                  </w:pPr>
                  <w:r w:rsidRPr="00E574BF">
                    <w:rPr>
                      <w:b/>
                      <w:sz w:val="20"/>
                      <w:szCs w:val="20"/>
                    </w:rPr>
                    <w:t>Miles</w:t>
                  </w:r>
                </w:p>
              </w:tc>
              <w:tc>
                <w:tcPr>
                  <w:tcW w:w="1353" w:type="dxa"/>
                </w:tcPr>
                <w:p w14:paraId="1ABFE59B" w14:textId="77777777" w:rsidR="006A7CAA" w:rsidRPr="00E574BF" w:rsidRDefault="006A7CAA" w:rsidP="006A7CAA">
                  <w:pPr>
                    <w:jc w:val="center"/>
                    <w:rPr>
                      <w:b/>
                      <w:sz w:val="20"/>
                      <w:szCs w:val="20"/>
                    </w:rPr>
                  </w:pPr>
                  <w:r w:rsidRPr="00E574BF">
                    <w:rPr>
                      <w:b/>
                      <w:sz w:val="20"/>
                      <w:szCs w:val="20"/>
                    </w:rPr>
                    <w:t>Dollars</w:t>
                  </w:r>
                </w:p>
              </w:tc>
            </w:tr>
            <w:tr w:rsidR="006A7CAA" w:rsidRPr="00E574BF" w14:paraId="069EBD29" w14:textId="77777777" w:rsidTr="006A7CAA">
              <w:tc>
                <w:tcPr>
                  <w:tcW w:w="1167" w:type="dxa"/>
                </w:tcPr>
                <w:p w14:paraId="55E24284" w14:textId="77777777" w:rsidR="006A7CAA" w:rsidRPr="00E574BF" w:rsidRDefault="006A7CAA" w:rsidP="006A7CAA">
                  <w:pPr>
                    <w:jc w:val="center"/>
                    <w:rPr>
                      <w:sz w:val="20"/>
                      <w:szCs w:val="20"/>
                    </w:rPr>
                  </w:pPr>
                  <w:r w:rsidRPr="00E574BF">
                    <w:rPr>
                      <w:sz w:val="20"/>
                      <w:szCs w:val="20"/>
                    </w:rPr>
                    <w:t>0</w:t>
                  </w:r>
                </w:p>
              </w:tc>
              <w:tc>
                <w:tcPr>
                  <w:tcW w:w="1353" w:type="dxa"/>
                </w:tcPr>
                <w:p w14:paraId="641EA4A2" w14:textId="77777777" w:rsidR="006A7CAA" w:rsidRPr="00E574BF" w:rsidRDefault="006A7CAA" w:rsidP="006A7CAA">
                  <w:pPr>
                    <w:jc w:val="center"/>
                    <w:rPr>
                      <w:sz w:val="20"/>
                      <w:szCs w:val="20"/>
                    </w:rPr>
                  </w:pPr>
                  <w:r w:rsidRPr="00E574BF">
                    <w:rPr>
                      <w:sz w:val="20"/>
                      <w:szCs w:val="20"/>
                    </w:rPr>
                    <w:t>0</w:t>
                  </w:r>
                </w:p>
              </w:tc>
            </w:tr>
            <w:tr w:rsidR="006A7CAA" w:rsidRPr="00E574BF" w14:paraId="230371F9" w14:textId="77777777" w:rsidTr="006A7CAA">
              <w:tc>
                <w:tcPr>
                  <w:tcW w:w="1167" w:type="dxa"/>
                </w:tcPr>
                <w:p w14:paraId="12CB8D5D" w14:textId="77777777" w:rsidR="006A7CAA" w:rsidRPr="00E574BF" w:rsidRDefault="006A7CAA" w:rsidP="006A7CAA">
                  <w:pPr>
                    <w:jc w:val="center"/>
                    <w:rPr>
                      <w:sz w:val="20"/>
                      <w:szCs w:val="20"/>
                    </w:rPr>
                  </w:pPr>
                  <w:r w:rsidRPr="00E574BF">
                    <w:rPr>
                      <w:sz w:val="20"/>
                      <w:szCs w:val="20"/>
                    </w:rPr>
                    <w:t>1</w:t>
                  </w:r>
                </w:p>
              </w:tc>
              <w:tc>
                <w:tcPr>
                  <w:tcW w:w="1353" w:type="dxa"/>
                </w:tcPr>
                <w:p w14:paraId="25FAD67E" w14:textId="77777777" w:rsidR="006A7CAA" w:rsidRPr="00E574BF" w:rsidRDefault="006A7CAA" w:rsidP="006A7CAA">
                  <w:pPr>
                    <w:jc w:val="center"/>
                    <w:rPr>
                      <w:sz w:val="20"/>
                      <w:szCs w:val="20"/>
                    </w:rPr>
                  </w:pPr>
                  <w:r w:rsidRPr="00E574BF">
                    <w:rPr>
                      <w:sz w:val="20"/>
                      <w:szCs w:val="20"/>
                    </w:rPr>
                    <w:t>2</w:t>
                  </w:r>
                </w:p>
              </w:tc>
            </w:tr>
            <w:tr w:rsidR="006A7CAA" w:rsidRPr="00E574BF" w14:paraId="04404EFD" w14:textId="77777777" w:rsidTr="006A7CAA">
              <w:tc>
                <w:tcPr>
                  <w:tcW w:w="1167" w:type="dxa"/>
                </w:tcPr>
                <w:p w14:paraId="56381AE6" w14:textId="77777777" w:rsidR="006A7CAA" w:rsidRPr="00E574BF" w:rsidRDefault="006A7CAA" w:rsidP="006A7CAA">
                  <w:pPr>
                    <w:jc w:val="center"/>
                    <w:rPr>
                      <w:sz w:val="20"/>
                      <w:szCs w:val="20"/>
                    </w:rPr>
                  </w:pPr>
                  <w:r w:rsidRPr="00E574BF">
                    <w:rPr>
                      <w:sz w:val="20"/>
                      <w:szCs w:val="20"/>
                    </w:rPr>
                    <w:t>2</w:t>
                  </w:r>
                </w:p>
              </w:tc>
              <w:tc>
                <w:tcPr>
                  <w:tcW w:w="1353" w:type="dxa"/>
                </w:tcPr>
                <w:p w14:paraId="416CC14C" w14:textId="77777777" w:rsidR="006A7CAA" w:rsidRPr="00E574BF" w:rsidRDefault="006A7CAA" w:rsidP="006A7CAA">
                  <w:pPr>
                    <w:jc w:val="center"/>
                    <w:rPr>
                      <w:sz w:val="20"/>
                      <w:szCs w:val="20"/>
                    </w:rPr>
                  </w:pPr>
                  <w:r w:rsidRPr="00E574BF">
                    <w:rPr>
                      <w:sz w:val="20"/>
                      <w:szCs w:val="20"/>
                    </w:rPr>
                    <w:t>4</w:t>
                  </w:r>
                </w:p>
              </w:tc>
            </w:tr>
            <w:tr w:rsidR="006A7CAA" w:rsidRPr="00E574BF" w14:paraId="2A45E8D3" w14:textId="77777777" w:rsidTr="006A7CAA">
              <w:tc>
                <w:tcPr>
                  <w:tcW w:w="1167" w:type="dxa"/>
                </w:tcPr>
                <w:p w14:paraId="3222F33D" w14:textId="77777777" w:rsidR="006A7CAA" w:rsidRPr="00E574BF" w:rsidRDefault="006A7CAA" w:rsidP="006A7CAA">
                  <w:pPr>
                    <w:jc w:val="center"/>
                    <w:rPr>
                      <w:sz w:val="20"/>
                      <w:szCs w:val="20"/>
                    </w:rPr>
                  </w:pPr>
                  <w:r w:rsidRPr="00E574BF">
                    <w:rPr>
                      <w:sz w:val="20"/>
                      <w:szCs w:val="20"/>
                    </w:rPr>
                    <w:t>3</w:t>
                  </w:r>
                </w:p>
              </w:tc>
              <w:tc>
                <w:tcPr>
                  <w:tcW w:w="1353" w:type="dxa"/>
                </w:tcPr>
                <w:p w14:paraId="01DA2EE6" w14:textId="77777777" w:rsidR="006A7CAA" w:rsidRPr="00E574BF" w:rsidRDefault="006A7CAA" w:rsidP="006A7CAA">
                  <w:pPr>
                    <w:jc w:val="center"/>
                    <w:rPr>
                      <w:sz w:val="20"/>
                      <w:szCs w:val="20"/>
                    </w:rPr>
                  </w:pPr>
                  <w:r w:rsidRPr="00E574BF">
                    <w:rPr>
                      <w:sz w:val="20"/>
                      <w:szCs w:val="20"/>
                    </w:rPr>
                    <w:t>6</w:t>
                  </w:r>
                </w:p>
              </w:tc>
            </w:tr>
            <w:tr w:rsidR="006A7CAA" w:rsidRPr="00E574BF" w14:paraId="7563EE23" w14:textId="77777777" w:rsidTr="006A7CAA">
              <w:tc>
                <w:tcPr>
                  <w:tcW w:w="1167" w:type="dxa"/>
                </w:tcPr>
                <w:p w14:paraId="5701B421" w14:textId="77777777" w:rsidR="006A7CAA" w:rsidRPr="00E574BF" w:rsidRDefault="006A7CAA" w:rsidP="006A7CAA">
                  <w:pPr>
                    <w:jc w:val="center"/>
                    <w:rPr>
                      <w:sz w:val="20"/>
                      <w:szCs w:val="20"/>
                    </w:rPr>
                  </w:pPr>
                  <w:r w:rsidRPr="00E574BF">
                    <w:rPr>
                      <w:sz w:val="20"/>
                      <w:szCs w:val="20"/>
                    </w:rPr>
                    <w:t>4</w:t>
                  </w:r>
                </w:p>
              </w:tc>
              <w:tc>
                <w:tcPr>
                  <w:tcW w:w="1353" w:type="dxa"/>
                </w:tcPr>
                <w:p w14:paraId="77683FC9" w14:textId="77777777" w:rsidR="006A7CAA" w:rsidRPr="00E574BF" w:rsidRDefault="006A7CAA" w:rsidP="006A7CAA">
                  <w:pPr>
                    <w:jc w:val="center"/>
                    <w:rPr>
                      <w:sz w:val="20"/>
                      <w:szCs w:val="20"/>
                    </w:rPr>
                  </w:pPr>
                  <w:r w:rsidRPr="00E574BF">
                    <w:rPr>
                      <w:sz w:val="20"/>
                      <w:szCs w:val="20"/>
                    </w:rPr>
                    <w:t>8</w:t>
                  </w:r>
                </w:p>
              </w:tc>
            </w:tr>
            <w:tr w:rsidR="006A7CAA" w:rsidRPr="00E574BF" w14:paraId="3E3E2222" w14:textId="77777777" w:rsidTr="006A7CAA">
              <w:tc>
                <w:tcPr>
                  <w:tcW w:w="1167" w:type="dxa"/>
                </w:tcPr>
                <w:p w14:paraId="15B3B91E" w14:textId="77777777" w:rsidR="006A7CAA" w:rsidRPr="00E574BF" w:rsidRDefault="006A7CAA" w:rsidP="006A7CAA">
                  <w:pPr>
                    <w:jc w:val="center"/>
                    <w:rPr>
                      <w:sz w:val="20"/>
                      <w:szCs w:val="20"/>
                    </w:rPr>
                  </w:pPr>
                  <w:r w:rsidRPr="00E574BF">
                    <w:rPr>
                      <w:sz w:val="20"/>
                      <w:szCs w:val="20"/>
                    </w:rPr>
                    <w:t>5</w:t>
                  </w:r>
                </w:p>
              </w:tc>
              <w:tc>
                <w:tcPr>
                  <w:tcW w:w="1353" w:type="dxa"/>
                </w:tcPr>
                <w:p w14:paraId="2AD165E1" w14:textId="77777777" w:rsidR="006A7CAA" w:rsidRPr="00E574BF" w:rsidRDefault="006A7CAA" w:rsidP="006A7CAA">
                  <w:pPr>
                    <w:jc w:val="center"/>
                    <w:rPr>
                      <w:sz w:val="20"/>
                      <w:szCs w:val="20"/>
                    </w:rPr>
                  </w:pPr>
                  <w:r w:rsidRPr="00E574BF">
                    <w:rPr>
                      <w:sz w:val="20"/>
                      <w:szCs w:val="20"/>
                    </w:rPr>
                    <w:t>10</w:t>
                  </w:r>
                </w:p>
              </w:tc>
            </w:tr>
            <w:tr w:rsidR="006A7CAA" w:rsidRPr="00E574BF" w14:paraId="6D5080B1" w14:textId="77777777" w:rsidTr="006A7CAA">
              <w:tc>
                <w:tcPr>
                  <w:tcW w:w="1167" w:type="dxa"/>
                </w:tcPr>
                <w:p w14:paraId="70B0516F" w14:textId="77777777" w:rsidR="006A7CAA" w:rsidRPr="00E574BF" w:rsidRDefault="006A7CAA" w:rsidP="006A7CAA">
                  <w:pPr>
                    <w:jc w:val="center"/>
                    <w:rPr>
                      <w:sz w:val="20"/>
                      <w:szCs w:val="20"/>
                    </w:rPr>
                  </w:pPr>
                  <w:r w:rsidRPr="00E574BF">
                    <w:rPr>
                      <w:sz w:val="20"/>
                      <w:szCs w:val="20"/>
                    </w:rPr>
                    <w:t>6</w:t>
                  </w:r>
                </w:p>
              </w:tc>
              <w:tc>
                <w:tcPr>
                  <w:tcW w:w="1353" w:type="dxa"/>
                </w:tcPr>
                <w:p w14:paraId="3730FC6C" w14:textId="77777777" w:rsidR="006A7CAA" w:rsidRPr="00E574BF" w:rsidRDefault="006A7CAA" w:rsidP="006A7CAA">
                  <w:pPr>
                    <w:jc w:val="center"/>
                    <w:rPr>
                      <w:sz w:val="20"/>
                      <w:szCs w:val="20"/>
                    </w:rPr>
                  </w:pPr>
                  <w:r w:rsidRPr="00E574BF">
                    <w:rPr>
                      <w:sz w:val="20"/>
                      <w:szCs w:val="20"/>
                    </w:rPr>
                    <w:t>12</w:t>
                  </w:r>
                </w:p>
              </w:tc>
            </w:tr>
          </w:tbl>
          <w:p w14:paraId="4465EEC0" w14:textId="77777777" w:rsidR="00865C13" w:rsidRPr="00891518" w:rsidRDefault="00865C13" w:rsidP="00BC2B77">
            <w:pPr>
              <w:rPr>
                <w:b/>
                <w:sz w:val="22"/>
                <w:szCs w:val="22"/>
              </w:rPr>
            </w:pPr>
          </w:p>
          <w:p w14:paraId="15851DAF" w14:textId="77777777" w:rsidR="00C02CA1" w:rsidRDefault="00C02CA1" w:rsidP="00BC2B77">
            <w:pPr>
              <w:rPr>
                <w:b/>
              </w:rPr>
            </w:pPr>
          </w:p>
          <w:p w14:paraId="2ED08590" w14:textId="77777777" w:rsidR="00C02CA1" w:rsidRPr="00C02CA1" w:rsidRDefault="00754220" w:rsidP="00BC2B77">
            <w:r>
              <w:t xml:space="preserve">                      </w:t>
            </w:r>
            <w:r w:rsidR="00C02CA1">
              <w:t xml:space="preserve">A table of values can also be shown in a vertical format.  </w:t>
            </w:r>
          </w:p>
          <w:p w14:paraId="10A0A7A1" w14:textId="77777777" w:rsidR="00C02CA1" w:rsidRDefault="00C02CA1" w:rsidP="00BC2B77"/>
          <w:p w14:paraId="7E4B7572" w14:textId="77777777" w:rsidR="00C02CA1" w:rsidRDefault="00C02CA1" w:rsidP="00BC2B77"/>
          <w:p w14:paraId="2FE58BD4" w14:textId="77777777" w:rsidR="00C02CA1" w:rsidRDefault="00C02CA1" w:rsidP="00BC2B77"/>
          <w:p w14:paraId="14320FC5" w14:textId="77777777" w:rsidR="00C02CA1" w:rsidRDefault="00C02CA1" w:rsidP="00BC2B77"/>
          <w:p w14:paraId="2DAAB3C7" w14:textId="77777777" w:rsidR="00C02CA1" w:rsidRDefault="00C02CA1" w:rsidP="00BC2B77"/>
          <w:p w14:paraId="5F93C48B" w14:textId="77777777" w:rsidR="00017149" w:rsidRPr="00C02CA1" w:rsidRDefault="00017149" w:rsidP="00BC2B77"/>
        </w:tc>
      </w:tr>
    </w:tbl>
    <w:tbl>
      <w:tblPr>
        <w:tblStyle w:val="TableGrid"/>
        <w:tblpPr w:leftFromText="180" w:rightFromText="180" w:vertAnchor="text" w:tblpY="9"/>
        <w:tblW w:w="14508" w:type="dxa"/>
        <w:tblLayout w:type="fixed"/>
        <w:tblLook w:val="00A0" w:firstRow="1" w:lastRow="0" w:firstColumn="1" w:lastColumn="0" w:noHBand="0" w:noVBand="0"/>
      </w:tblPr>
      <w:tblGrid>
        <w:gridCol w:w="14508"/>
      </w:tblGrid>
      <w:tr w:rsidR="0050105E" w14:paraId="2F13E7B2" w14:textId="77777777" w:rsidTr="0050105E">
        <w:tc>
          <w:tcPr>
            <w:tcW w:w="14508" w:type="dxa"/>
            <w:shd w:val="clear" w:color="auto" w:fill="auto"/>
          </w:tcPr>
          <w:p w14:paraId="55F102C2" w14:textId="77777777" w:rsidR="0050105E" w:rsidRDefault="0050105E" w:rsidP="00E574BF">
            <w:pPr>
              <w:rPr>
                <w:b/>
              </w:rPr>
            </w:pPr>
          </w:p>
          <w:p w14:paraId="1A03A21F" w14:textId="6E4F23F1" w:rsidR="0050105E" w:rsidRPr="00DB7896" w:rsidRDefault="0050105E" w:rsidP="00E574BF">
            <w:pPr>
              <w:rPr>
                <w:b/>
              </w:rPr>
            </w:pPr>
            <w:r>
              <w:rPr>
                <w:b/>
              </w:rPr>
              <w:t xml:space="preserve">Graphs: </w:t>
            </w:r>
          </w:p>
          <w:p w14:paraId="6857E9F0" w14:textId="2DCA57FF" w:rsidR="0061178A" w:rsidRDefault="0050105E" w:rsidP="00E574BF">
            <w:r>
              <w:t xml:space="preserve">Students can graph the quantitative relationship on a coordinate plane. When graphing the data, the horizontal </w:t>
            </w:r>
            <w:r w:rsidRPr="00C441D6">
              <w:rPr>
                <w:i/>
              </w:rPr>
              <w:t>x</w:t>
            </w:r>
            <w:r w:rsidR="00165E1E">
              <w:t xml:space="preserve">-axis </w:t>
            </w:r>
            <w:r>
              <w:t>represent</w:t>
            </w:r>
            <w:r w:rsidR="00165E1E">
              <w:t>s</w:t>
            </w:r>
            <w:r>
              <w:t xml:space="preserve"> the independent variable of miles walked, and the vertical </w:t>
            </w:r>
            <w:r w:rsidRPr="00C441D6">
              <w:rPr>
                <w:i/>
              </w:rPr>
              <w:t>y</w:t>
            </w:r>
            <w:r w:rsidR="00165E1E">
              <w:t xml:space="preserve">-axis </w:t>
            </w:r>
            <w:r>
              <w:t>represent</w:t>
            </w:r>
            <w:r w:rsidR="00165E1E">
              <w:t>s</w:t>
            </w:r>
            <w:r>
              <w:t xml:space="preserve"> the dependent variable of total dollars the sponsor owes.  The graph gives the student</w:t>
            </w:r>
            <w:r w:rsidR="00165E1E">
              <w:t>s a visual image that helps them</w:t>
            </w:r>
            <w:r>
              <w:t xml:space="preserve"> describe the relationship between miles walked and total m</w:t>
            </w:r>
            <w:r w:rsidR="00B760C7">
              <w:t>oney owed.  When connected, the points form a straight line, which means it is a linear function.</w:t>
            </w:r>
            <w:r>
              <w:t xml:space="preserve"> </w:t>
            </w:r>
            <w:r w:rsidR="00B760C7">
              <w:t xml:space="preserve"> T</w:t>
            </w:r>
            <w:r>
              <w:t>he rate of change is constant</w:t>
            </w:r>
            <w:r w:rsidR="00B760C7">
              <w:t xml:space="preserve"> meaning that</w:t>
            </w:r>
            <w:r w:rsidR="00336A11">
              <w:t xml:space="preserve"> for every mile walked,</w:t>
            </w:r>
            <w:r w:rsidR="0061178A">
              <w:t xml:space="preserve"> there is a two-dollar </w:t>
            </w:r>
            <w:r w:rsidR="00336A11">
              <w:t>cost for the sponsor</w:t>
            </w:r>
            <w:r>
              <w:t xml:space="preserve">. </w:t>
            </w:r>
          </w:p>
          <w:p w14:paraId="05B961CA" w14:textId="77777777" w:rsidR="00AF78B4" w:rsidRDefault="00AF78B4" w:rsidP="00E574BF">
            <w:bookmarkStart w:id="0" w:name="_GoBack"/>
            <w:bookmarkEnd w:id="0"/>
          </w:p>
          <w:p w14:paraId="6CAA9129" w14:textId="23EF0DC4" w:rsidR="00C6541E" w:rsidRDefault="00890EC2" w:rsidP="00890EC2">
            <w:pPr>
              <w:jc w:val="center"/>
            </w:pPr>
            <w:r>
              <w:rPr>
                <w:rFonts w:ascii="Helvetica" w:hAnsi="Helvetica" w:cs="Helvetica"/>
                <w:noProof/>
              </w:rPr>
              <w:drawing>
                <wp:inline distT="0" distB="0" distL="0" distR="0" wp14:anchorId="24EFD51F" wp14:editId="1FCFD397">
                  <wp:extent cx="2312894"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1422" t="12442" r="8391" b="7745"/>
                          <a:stretch/>
                        </pic:blipFill>
                        <pic:spPr bwMode="auto">
                          <a:xfrm>
                            <a:off x="0" y="0"/>
                            <a:ext cx="2313330" cy="2286431"/>
                          </a:xfrm>
                          <a:prstGeom prst="rect">
                            <a:avLst/>
                          </a:prstGeom>
                          <a:noFill/>
                          <a:ln>
                            <a:noFill/>
                          </a:ln>
                          <a:extLst>
                            <a:ext uri="{53640926-AAD7-44d8-BBD7-CCE9431645EC}">
                              <a14:shadowObscured xmlns:a14="http://schemas.microsoft.com/office/drawing/2010/main"/>
                            </a:ext>
                          </a:extLst>
                        </pic:spPr>
                      </pic:pic>
                    </a:graphicData>
                  </a:graphic>
                </wp:inline>
              </w:drawing>
            </w:r>
          </w:p>
          <w:p w14:paraId="68FE7AC9" w14:textId="77777777" w:rsidR="00AF78B4" w:rsidRDefault="00AF78B4" w:rsidP="00E574BF"/>
          <w:p w14:paraId="09250C7D" w14:textId="51C81781" w:rsidR="0050105E" w:rsidRDefault="0050105E" w:rsidP="00E574BF">
            <w:r>
              <w:t xml:space="preserve">When representing quantitative relationships on a graph it is important to discuss whether the plotted points should </w:t>
            </w:r>
            <w:r w:rsidR="00890EC2">
              <w:t>or should not be connected</w:t>
            </w:r>
            <w:r w:rsidR="00C441D6">
              <w:t>.</w:t>
            </w:r>
            <w:r w:rsidR="00890EC2">
              <w:t xml:space="preserve">  When graphing things that cannot be broken into smaller parts, like number of cars and riders per car, the points should not be connected.  When graphing things that can be broken into smaller parts, like miles walked and dollars owed, the points should be connected.  In other words, if it is reasonable </w:t>
            </w:r>
            <w:r w:rsidR="008C1350">
              <w:t xml:space="preserve">within the context </w:t>
            </w:r>
            <w:r w:rsidR="00890EC2">
              <w:t xml:space="preserve">to have a value at any point on the line, </w:t>
            </w:r>
            <w:r w:rsidR="008C1350">
              <w:t>the points should be connected.  If it is not reasonable within the context to have a value at any point on the line, the points should not be connected.</w:t>
            </w:r>
          </w:p>
          <w:p w14:paraId="6D5CC69D" w14:textId="6D22D4E7" w:rsidR="0050105E" w:rsidRDefault="0050105E" w:rsidP="00E574BF"/>
          <w:p w14:paraId="490DBCE1" w14:textId="77777777" w:rsidR="0050105E" w:rsidRDefault="0050105E" w:rsidP="008C1350">
            <w:pPr>
              <w:rPr>
                <w:b/>
              </w:rPr>
            </w:pPr>
          </w:p>
        </w:tc>
      </w:tr>
      <w:tr w:rsidR="0050105E" w14:paraId="673F0B5A" w14:textId="77777777" w:rsidTr="0050105E">
        <w:tc>
          <w:tcPr>
            <w:tcW w:w="14508" w:type="dxa"/>
            <w:shd w:val="clear" w:color="auto" w:fill="C6D9F1" w:themeFill="text2" w:themeFillTint="33"/>
            <w:vAlign w:val="bottom"/>
          </w:tcPr>
          <w:p w14:paraId="29AC56FB" w14:textId="77777777" w:rsidR="0050105E" w:rsidRDefault="0050105E" w:rsidP="0003476D">
            <w:pPr>
              <w:jc w:val="center"/>
              <w:rPr>
                <w:b/>
              </w:rPr>
            </w:pPr>
          </w:p>
          <w:p w14:paraId="5391A151" w14:textId="77777777" w:rsidR="0050105E" w:rsidRPr="005E5DB4" w:rsidRDefault="0050105E" w:rsidP="0003476D">
            <w:pPr>
              <w:jc w:val="center"/>
              <w:rPr>
                <w:b/>
              </w:rPr>
            </w:pPr>
            <w:r w:rsidRPr="005E5DB4">
              <w:rPr>
                <w:b/>
              </w:rPr>
              <w:t>Symbolic Equation:</w:t>
            </w:r>
          </w:p>
          <w:p w14:paraId="14E67ADE" w14:textId="77777777" w:rsidR="0050105E" w:rsidRDefault="0050105E" w:rsidP="0003476D">
            <w:pPr>
              <w:jc w:val="center"/>
            </w:pPr>
            <w:r>
              <w:t>The students can translate the verbal statement to develop an equation that represents the quantitative relationship of the context.</w:t>
            </w:r>
          </w:p>
          <w:p w14:paraId="69045357" w14:textId="77777777" w:rsidR="0050105E" w:rsidRDefault="0050105E" w:rsidP="0003476D">
            <w:pPr>
              <w:jc w:val="center"/>
            </w:pPr>
          </w:p>
          <w:p w14:paraId="65FE0F63" w14:textId="10EDDD29" w:rsidR="0050105E" w:rsidRDefault="008C1350" w:rsidP="0003476D">
            <w:pPr>
              <w:jc w:val="center"/>
            </w:pPr>
            <w:r>
              <w:t xml:space="preserve">The total sponsor cost </w:t>
            </w:r>
            <w:r w:rsidR="0050105E">
              <w:t>equals miles</w:t>
            </w:r>
            <w:r>
              <w:t xml:space="preserve"> walked</w:t>
            </w:r>
            <w:r w:rsidR="0050105E">
              <w:t xml:space="preserve"> times $2.00.</w:t>
            </w:r>
          </w:p>
          <w:p w14:paraId="5EA1408D" w14:textId="77777777" w:rsidR="0050105E" w:rsidRDefault="0050105E" w:rsidP="0003476D">
            <w:pPr>
              <w:jc w:val="center"/>
            </w:pPr>
            <w:r>
              <w:t>or</w:t>
            </w:r>
          </w:p>
          <w:p w14:paraId="6B36372A" w14:textId="77777777" w:rsidR="0050105E" w:rsidRDefault="0050105E" w:rsidP="0003476D">
            <w:pPr>
              <w:jc w:val="center"/>
            </w:pPr>
            <w:r>
              <w:t>dollars = $2.00 x miles</w:t>
            </w:r>
          </w:p>
          <w:p w14:paraId="19EF2D36" w14:textId="77777777" w:rsidR="0050105E" w:rsidRDefault="0050105E" w:rsidP="0003476D">
            <w:pPr>
              <w:jc w:val="center"/>
            </w:pPr>
            <w:r>
              <w:t>or</w:t>
            </w:r>
          </w:p>
          <w:p w14:paraId="07A63A47" w14:textId="77777777" w:rsidR="0050105E" w:rsidRDefault="0050105E" w:rsidP="0003476D">
            <w:pPr>
              <w:jc w:val="center"/>
              <w:rPr>
                <w:i/>
              </w:rPr>
            </w:pPr>
            <w:r w:rsidRPr="00A27205">
              <w:rPr>
                <w:i/>
              </w:rPr>
              <w:t>d</w:t>
            </w:r>
            <w:r>
              <w:t xml:space="preserve">  =  2</w:t>
            </w:r>
            <w:r w:rsidRPr="00A27205">
              <w:rPr>
                <w:i/>
              </w:rPr>
              <w:t>m</w:t>
            </w:r>
          </w:p>
          <w:p w14:paraId="0F16581D" w14:textId="77777777" w:rsidR="00BA2D00" w:rsidRDefault="00BA2D00" w:rsidP="0003476D">
            <w:pPr>
              <w:jc w:val="center"/>
              <w:rPr>
                <w:b/>
              </w:rPr>
            </w:pPr>
          </w:p>
        </w:tc>
      </w:tr>
    </w:tbl>
    <w:p w14:paraId="78A36C16" w14:textId="108C0A42" w:rsidR="003A4672" w:rsidRDefault="003A4672" w:rsidP="00E574BF"/>
    <w:sectPr w:rsidR="003A4672" w:rsidSect="00E574BF">
      <w:headerReference w:type="default" r:id="rId10"/>
      <w:footerReference w:type="default" r:id="rId11"/>
      <w:pgSz w:w="15840" w:h="12240" w:orient="landscape"/>
      <w:pgMar w:top="504" w:right="864" w:bottom="504" w:left="864" w:header="432" w:footer="14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A8897" w14:textId="77777777" w:rsidR="00890EC2" w:rsidRDefault="00890EC2" w:rsidP="009F1875">
      <w:r>
        <w:separator/>
      </w:r>
    </w:p>
  </w:endnote>
  <w:endnote w:type="continuationSeparator" w:id="0">
    <w:p w14:paraId="3CB87420" w14:textId="77777777" w:rsidR="00890EC2" w:rsidRDefault="00890EC2" w:rsidP="009F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ED6D3" w14:textId="77777777" w:rsidR="00890EC2" w:rsidRPr="00070F64" w:rsidRDefault="00890EC2" w:rsidP="009F1875">
    <w:pPr>
      <w:pStyle w:val="Footer"/>
      <w:jc w:val="center"/>
      <w:rPr>
        <w:b/>
      </w:rPr>
    </w:pPr>
    <w:r>
      <w:rPr>
        <w:b/>
      </w:rPr>
      <w:t>Utah District Consortium (Jordan, Davis, Granite, Salt Lake), 2011</w:t>
    </w:r>
  </w:p>
  <w:p w14:paraId="0C44203E" w14:textId="77777777" w:rsidR="00890EC2" w:rsidRDefault="00890E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9BBE2" w14:textId="77777777" w:rsidR="00890EC2" w:rsidRDefault="00890EC2" w:rsidP="009F1875">
      <w:r>
        <w:separator/>
      </w:r>
    </w:p>
  </w:footnote>
  <w:footnote w:type="continuationSeparator" w:id="0">
    <w:p w14:paraId="66100D67" w14:textId="77777777" w:rsidR="00890EC2" w:rsidRDefault="00890EC2" w:rsidP="009F18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48F55" w14:textId="5A8EA708" w:rsidR="00890EC2" w:rsidRPr="00017149" w:rsidRDefault="00890EC2" w:rsidP="00017149">
    <w:pPr>
      <w:rPr>
        <w:b/>
      </w:rPr>
    </w:pPr>
    <w:r>
      <w:rPr>
        <w:b/>
      </w:rPr>
      <w:t>6</w:t>
    </w:r>
    <w:r w:rsidRPr="003A1482">
      <w:rPr>
        <w:b/>
        <w:vertAlign w:val="superscript"/>
      </w:rPr>
      <w:t>th</w:t>
    </w:r>
    <w:r>
      <w:rPr>
        <w:b/>
      </w:rPr>
      <w:t xml:space="preserve"> Grade ~ Conceptual Foundations 7 - Expressions and Equations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51555"/>
    <w:multiLevelType w:val="hybridMultilevel"/>
    <w:tmpl w:val="F098BCD4"/>
    <w:lvl w:ilvl="0" w:tplc="425E7898">
      <w:numFmt w:val="decimal"/>
      <w:lvlText w:val="%1"/>
      <w:lvlJc w:val="left"/>
      <w:pPr>
        <w:ind w:left="1140" w:hanging="109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77"/>
    <w:rsid w:val="00011617"/>
    <w:rsid w:val="00017149"/>
    <w:rsid w:val="0003476D"/>
    <w:rsid w:val="0003588B"/>
    <w:rsid w:val="00074A16"/>
    <w:rsid w:val="00075D56"/>
    <w:rsid w:val="00080113"/>
    <w:rsid w:val="000934AC"/>
    <w:rsid w:val="0011107B"/>
    <w:rsid w:val="00165E1E"/>
    <w:rsid w:val="00171E2E"/>
    <w:rsid w:val="001B607B"/>
    <w:rsid w:val="001C0C01"/>
    <w:rsid w:val="001C630F"/>
    <w:rsid w:val="001D4BB0"/>
    <w:rsid w:val="0022438A"/>
    <w:rsid w:val="00262DA1"/>
    <w:rsid w:val="002A0FB0"/>
    <w:rsid w:val="002C38FC"/>
    <w:rsid w:val="002D6525"/>
    <w:rsid w:val="00313D10"/>
    <w:rsid w:val="00336A11"/>
    <w:rsid w:val="00365048"/>
    <w:rsid w:val="0036628A"/>
    <w:rsid w:val="003A4672"/>
    <w:rsid w:val="003B6742"/>
    <w:rsid w:val="003F2E91"/>
    <w:rsid w:val="00425A64"/>
    <w:rsid w:val="00461B9B"/>
    <w:rsid w:val="004E7F3F"/>
    <w:rsid w:val="004F6E61"/>
    <w:rsid w:val="0050105E"/>
    <w:rsid w:val="005132C5"/>
    <w:rsid w:val="00544EE2"/>
    <w:rsid w:val="005756A0"/>
    <w:rsid w:val="005E5DB4"/>
    <w:rsid w:val="006002DB"/>
    <w:rsid w:val="0061178A"/>
    <w:rsid w:val="00635F0A"/>
    <w:rsid w:val="00673D13"/>
    <w:rsid w:val="00696B84"/>
    <w:rsid w:val="006A7CAA"/>
    <w:rsid w:val="006C5C3A"/>
    <w:rsid w:val="006E651A"/>
    <w:rsid w:val="006F44CD"/>
    <w:rsid w:val="00703A3F"/>
    <w:rsid w:val="007379F2"/>
    <w:rsid w:val="00754220"/>
    <w:rsid w:val="007D3590"/>
    <w:rsid w:val="008108F5"/>
    <w:rsid w:val="00844D10"/>
    <w:rsid w:val="00865C13"/>
    <w:rsid w:val="00890EC2"/>
    <w:rsid w:val="00891518"/>
    <w:rsid w:val="008C03FD"/>
    <w:rsid w:val="008C1350"/>
    <w:rsid w:val="008D1F41"/>
    <w:rsid w:val="008D221F"/>
    <w:rsid w:val="00925347"/>
    <w:rsid w:val="00940A3D"/>
    <w:rsid w:val="00991776"/>
    <w:rsid w:val="00994103"/>
    <w:rsid w:val="009F1875"/>
    <w:rsid w:val="009F2066"/>
    <w:rsid w:val="00A07A24"/>
    <w:rsid w:val="00A21264"/>
    <w:rsid w:val="00A235EF"/>
    <w:rsid w:val="00A27205"/>
    <w:rsid w:val="00A5175D"/>
    <w:rsid w:val="00A802B0"/>
    <w:rsid w:val="00A81D03"/>
    <w:rsid w:val="00AA48BB"/>
    <w:rsid w:val="00AD3AC8"/>
    <w:rsid w:val="00AF78B4"/>
    <w:rsid w:val="00B10589"/>
    <w:rsid w:val="00B41FB7"/>
    <w:rsid w:val="00B760C7"/>
    <w:rsid w:val="00B84A1E"/>
    <w:rsid w:val="00BA2D00"/>
    <w:rsid w:val="00BC2B77"/>
    <w:rsid w:val="00C02CA1"/>
    <w:rsid w:val="00C441D6"/>
    <w:rsid w:val="00C51B2A"/>
    <w:rsid w:val="00C62E57"/>
    <w:rsid w:val="00C6541E"/>
    <w:rsid w:val="00C71838"/>
    <w:rsid w:val="00C856FA"/>
    <w:rsid w:val="00C94353"/>
    <w:rsid w:val="00CA5665"/>
    <w:rsid w:val="00CD7E89"/>
    <w:rsid w:val="00D05651"/>
    <w:rsid w:val="00D359D8"/>
    <w:rsid w:val="00D41FB8"/>
    <w:rsid w:val="00D667B4"/>
    <w:rsid w:val="00D70B3F"/>
    <w:rsid w:val="00D73606"/>
    <w:rsid w:val="00D747C4"/>
    <w:rsid w:val="00DB7896"/>
    <w:rsid w:val="00DC727D"/>
    <w:rsid w:val="00DD04C2"/>
    <w:rsid w:val="00DD0EA9"/>
    <w:rsid w:val="00DD0ED2"/>
    <w:rsid w:val="00DF1049"/>
    <w:rsid w:val="00DF3901"/>
    <w:rsid w:val="00E01136"/>
    <w:rsid w:val="00E27A20"/>
    <w:rsid w:val="00E574BF"/>
    <w:rsid w:val="00EB02DD"/>
    <w:rsid w:val="00F0444A"/>
    <w:rsid w:val="00F3569B"/>
    <w:rsid w:val="00F36FC7"/>
    <w:rsid w:val="00F5646B"/>
    <w:rsid w:val="00F93418"/>
    <w:rsid w:val="00FB6C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strokecolor="red"/>
    </o:shapedefaults>
    <o:shapelayout v:ext="edit">
      <o:idmap v:ext="edit" data="1"/>
    </o:shapelayout>
  </w:shapeDefaults>
  <w:decimalSymbol w:val="."/>
  <w:listSeparator w:val=","/>
  <w14:docId w14:val="4417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77"/>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B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2438A"/>
    <w:pPr>
      <w:ind w:left="720"/>
      <w:contextualSpacing/>
    </w:pPr>
  </w:style>
  <w:style w:type="paragraph" w:styleId="Header">
    <w:name w:val="header"/>
    <w:basedOn w:val="Normal"/>
    <w:link w:val="HeaderChar"/>
    <w:uiPriority w:val="99"/>
    <w:unhideWhenUsed/>
    <w:rsid w:val="009F1875"/>
    <w:pPr>
      <w:tabs>
        <w:tab w:val="center" w:pos="4680"/>
        <w:tab w:val="right" w:pos="9360"/>
      </w:tabs>
    </w:pPr>
  </w:style>
  <w:style w:type="character" w:customStyle="1" w:styleId="HeaderChar">
    <w:name w:val="Header Char"/>
    <w:basedOn w:val="DefaultParagraphFont"/>
    <w:link w:val="Header"/>
    <w:uiPriority w:val="99"/>
    <w:rsid w:val="009F1875"/>
    <w:rPr>
      <w:rFonts w:ascii="Arial Narrow" w:hAnsi="Arial Narrow"/>
    </w:rPr>
  </w:style>
  <w:style w:type="paragraph" w:styleId="Footer">
    <w:name w:val="footer"/>
    <w:basedOn w:val="Normal"/>
    <w:link w:val="FooterChar"/>
    <w:uiPriority w:val="99"/>
    <w:unhideWhenUsed/>
    <w:rsid w:val="009F1875"/>
    <w:pPr>
      <w:tabs>
        <w:tab w:val="center" w:pos="4680"/>
        <w:tab w:val="right" w:pos="9360"/>
      </w:tabs>
    </w:pPr>
  </w:style>
  <w:style w:type="character" w:customStyle="1" w:styleId="FooterChar">
    <w:name w:val="Footer Char"/>
    <w:basedOn w:val="DefaultParagraphFont"/>
    <w:link w:val="Footer"/>
    <w:uiPriority w:val="99"/>
    <w:rsid w:val="009F1875"/>
    <w:rPr>
      <w:rFonts w:ascii="Arial Narrow" w:hAnsi="Arial Narrow"/>
    </w:rPr>
  </w:style>
  <w:style w:type="paragraph" w:styleId="BalloonText">
    <w:name w:val="Balloon Text"/>
    <w:basedOn w:val="Normal"/>
    <w:link w:val="BalloonTextChar"/>
    <w:uiPriority w:val="99"/>
    <w:semiHidden/>
    <w:unhideWhenUsed/>
    <w:rsid w:val="00890E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0E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77"/>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B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2438A"/>
    <w:pPr>
      <w:ind w:left="720"/>
      <w:contextualSpacing/>
    </w:pPr>
  </w:style>
  <w:style w:type="paragraph" w:styleId="Header">
    <w:name w:val="header"/>
    <w:basedOn w:val="Normal"/>
    <w:link w:val="HeaderChar"/>
    <w:uiPriority w:val="99"/>
    <w:unhideWhenUsed/>
    <w:rsid w:val="009F1875"/>
    <w:pPr>
      <w:tabs>
        <w:tab w:val="center" w:pos="4680"/>
        <w:tab w:val="right" w:pos="9360"/>
      </w:tabs>
    </w:pPr>
  </w:style>
  <w:style w:type="character" w:customStyle="1" w:styleId="HeaderChar">
    <w:name w:val="Header Char"/>
    <w:basedOn w:val="DefaultParagraphFont"/>
    <w:link w:val="Header"/>
    <w:uiPriority w:val="99"/>
    <w:rsid w:val="009F1875"/>
    <w:rPr>
      <w:rFonts w:ascii="Arial Narrow" w:hAnsi="Arial Narrow"/>
    </w:rPr>
  </w:style>
  <w:style w:type="paragraph" w:styleId="Footer">
    <w:name w:val="footer"/>
    <w:basedOn w:val="Normal"/>
    <w:link w:val="FooterChar"/>
    <w:uiPriority w:val="99"/>
    <w:unhideWhenUsed/>
    <w:rsid w:val="009F1875"/>
    <w:pPr>
      <w:tabs>
        <w:tab w:val="center" w:pos="4680"/>
        <w:tab w:val="right" w:pos="9360"/>
      </w:tabs>
    </w:pPr>
  </w:style>
  <w:style w:type="character" w:customStyle="1" w:styleId="FooterChar">
    <w:name w:val="Footer Char"/>
    <w:basedOn w:val="DefaultParagraphFont"/>
    <w:link w:val="Footer"/>
    <w:uiPriority w:val="99"/>
    <w:rsid w:val="009F1875"/>
    <w:rPr>
      <w:rFonts w:ascii="Arial Narrow" w:hAnsi="Arial Narrow"/>
    </w:rPr>
  </w:style>
  <w:style w:type="paragraph" w:styleId="BalloonText">
    <w:name w:val="Balloon Text"/>
    <w:basedOn w:val="Normal"/>
    <w:link w:val="BalloonTextChar"/>
    <w:uiPriority w:val="99"/>
    <w:semiHidden/>
    <w:unhideWhenUsed/>
    <w:rsid w:val="00890E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0E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731</Words>
  <Characters>4172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Granite School Dist.</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dc:creator>
  <cp:keywords/>
  <dc:description/>
  <cp:lastModifiedBy>JSD</cp:lastModifiedBy>
  <cp:revision>8</cp:revision>
  <cp:lastPrinted>2012-03-07T23:31:00Z</cp:lastPrinted>
  <dcterms:created xsi:type="dcterms:W3CDTF">2012-03-07T23:00:00Z</dcterms:created>
  <dcterms:modified xsi:type="dcterms:W3CDTF">2012-03-08T15:35:00Z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916368215</vt:i4>
  </property>
  <property fmtid="{D5CDD505-2E9C-101B-9397-08002B2CF9AE}" pid="3" name="_NewReviewCycle">
    <vt:lpwstr/>
  </property>
  <property fmtid="{D5CDD505-2E9C-101B-9397-08002B2CF9AE}" pid="4" name="_EmailSubject">
    <vt:lpwstr>Change to CF page</vt:lpwstr>
  </property>
  <property fmtid="{D5CDD505-2E9C-101B-9397-08002B2CF9AE}" pid="5" name="_AuthorEmail">
    <vt:lpwstr>aosness@graniteschools.org</vt:lpwstr>
  </property>
  <property fmtid="{D5CDD505-2E9C-101B-9397-08002B2CF9AE}" pid="6" name="_AuthorEmailDisplayName">
    <vt:lpwstr>Osness, Angela R</vt:lpwstr>
  </property>
</Properties>
</file>